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F4E5F"/>
          <w:sz w:val="36"/>
          <w:szCs w:val="36"/>
        </w:rPr>
        <w:t xml:space="preserve">INFORMATIVA SULLA PRIVACY</w:t>
      </w:r>
    </w:p>
    <w:p>
      <w:pPr>
        <w:spacing w:after="240"/>
        <w:jc w:val="center"/>
      </w:pPr>
      <w:r>
        <w:rPr>
          <w:i/>
          <w:iCs/>
          <w:color w:val="555555"/>
          <w:sz w:val="18"/>
          <w:szCs w:val="18"/>
        </w:rPr>
        <w:t xml:space="preserve">Informativa resa ai sensi degli artt. 13 e 14 del Regolamento (UE) 2016/679 (GDPR)</w:t>
      </w:r>
    </w:p>
    <w:p>
      <w:pPr>
        <w:pStyle w:val="Heading1"/>
      </w:pPr>
      <w:r>
        <w:t xml:space="preserve">1. Titolare del trattamento</w:t>
      </w:r>
    </w:p>
    <w:p>
      <w:pPr>
        <w:spacing w:after="120"/>
      </w:pPr>
      <w:r>
        <w:t xml:space="preserve">Il Titolare del trattamento dei dati personali è:</w:t>
      </w:r>
    </w:p>
    <w:p>
      <w:pPr>
        <w:spacing w:after="120"/>
      </w:pPr>
      <w:r>
        <w:rPr>
          <w:b/>
          <w:bCs/>
        </w:rPr>
        <w:t xml:space="preserve">Rizzo Landscape Building S.R.L.</w:t>
      </w:r>
    </w:p>
    <w:p>
      <w:pPr>
        <w:spacing w:after="120"/>
      </w:pPr>
      <w:r>
        <w:t xml:space="preserve">Sede legale: Piazza di Campitelli, 20 — 00186 Roma (RM), Italia</w:t>
      </w:r>
    </w:p>
    <w:p>
      <w:pPr>
        <w:spacing w:after="120"/>
      </w:pPr>
      <w:r>
        <w:t xml:space="preserve">P. IVA e Codice Fiscale: 18151451004</w:t>
      </w:r>
    </w:p>
    <w:p>
      <w:pPr>
        <w:spacing w:after="120"/>
      </w:pPr>
      <w:r>
        <w:t xml:space="preserve">Email: info@rizzolandscapebuilding.com</w:t>
      </w:r>
    </w:p>
    <w:p>
      <w:pPr>
        <w:spacing w:after="120"/>
      </w:pPr>
      <w:r>
        <w:t xml:space="preserve">Per ogni richiesta relativa al trattamento dei dati personali è possibile contattare il Titolare ai recapiti sopra indicati.</w:t>
      </w:r>
    </w:p>
    <w:p>
      <w:pPr>
        <w:pStyle w:val="Heading1"/>
      </w:pPr>
      <w:r>
        <w:t xml:space="preserve">2. Responsabile della protezione dei dati (DPO)</w:t>
      </w:r>
    </w:p>
    <w:p>
      <w:pPr>
        <w:spacing w:after="120"/>
      </w:pPr>
      <w:r>
        <w:t xml:space="preserve">Il Titolare non ha nominato un Responsabile della protezione dei dati (DPO), non ricorrendo i presupposti di obbligatorietà di cui all’art. 37 del GDPR. L’attività non comporta infatti monitoraggio regolare e sistematico degli interessati su larga scala, né trattamento su larga scala di categorie particolari di dati o di dati relativi a condanne penali e reati.</w:t>
      </w:r>
    </w:p>
    <w:p>
      <w:pPr>
        <w:pStyle w:val="Heading1"/>
      </w:pPr>
      <w:r>
        <w:t xml:space="preserve">3. Tipologia di dati raccolti</w:t>
      </w:r>
    </w:p>
    <w:p>
      <w:pPr>
        <w:spacing w:after="120"/>
      </w:pPr>
      <w:r>
        <w:t xml:space="preserve">Nell’ambito dell’utilizzo del sito e dei contatti con il Titolare possono essere raccolte le seguenti categorie di dati:</w:t>
      </w:r>
    </w:p>
    <w:p>
      <w:pPr>
        <w:pStyle w:val="ListParagraph"/>
        <w:numPr>
          <w:ilvl w:val="0"/>
          <w:numId w:val="2"/>
        </w:numPr>
        <w:spacing w:after="60"/>
      </w:pPr>
      <w:r>
        <w:t xml:space="preserve">Dati identificativi (nome, cognome, eventuale ragione sociale);</w:t>
      </w:r>
    </w:p>
    <w:p>
      <w:pPr>
        <w:pStyle w:val="ListParagraph"/>
        <w:numPr>
          <w:ilvl w:val="0"/>
          <w:numId w:val="2"/>
        </w:numPr>
        <w:spacing w:after="60"/>
      </w:pPr>
      <w:r>
        <w:t xml:space="preserve">Dati di contatto (indirizzo email, numero di telefono);</w:t>
      </w:r>
    </w:p>
    <w:p>
      <w:pPr>
        <w:pStyle w:val="ListParagraph"/>
        <w:numPr>
          <w:ilvl w:val="0"/>
          <w:numId w:val="2"/>
        </w:numPr>
        <w:spacing w:after="60"/>
      </w:pPr>
      <w:r>
        <w:t xml:space="preserve">Informazioni fornite volontariamente tramite moduli di contatto o richieste di preventivo;</w:t>
      </w:r>
    </w:p>
    <w:p>
      <w:pPr>
        <w:pStyle w:val="ListParagraph"/>
        <w:numPr>
          <w:ilvl w:val="0"/>
          <w:numId w:val="2"/>
        </w:numPr>
        <w:spacing w:after="60"/>
      </w:pPr>
      <w:r>
        <w:t xml:space="preserve">Dati tecnici di navigazione (indirizzo IP, tipo di browser, sistema operativo, data e ora di accesso, pagine visitate);</w:t>
      </w:r>
    </w:p>
    <w:p>
      <w:pPr>
        <w:pStyle w:val="ListParagraph"/>
        <w:numPr>
          <w:ilvl w:val="0"/>
          <w:numId w:val="2"/>
        </w:numPr>
        <w:spacing w:after="60"/>
      </w:pPr>
      <w:r>
        <w:t xml:space="preserve">Dati raccolti tramite cookie e strumenti di analisi, come dettagliato nella Cookie Policy.</w:t>
      </w:r>
    </w:p>
    <w:p>
      <w:pPr>
        <w:spacing w:after="120"/>
      </w:pPr>
      <w:r>
        <w:t xml:space="preserve">Il conferimento dei dati tramite i moduli del sito è facoltativo; tuttavia, il mancato conferimento dei dati contrassegnati come obbligatori impedisce di dare seguito alla richiesta dell’interessato.</w:t>
      </w:r>
    </w:p>
    <w:p>
      <w:pPr>
        <w:pStyle w:val="Heading1"/>
      </w:pPr>
      <w:r>
        <w:t xml:space="preserve">4. Finalità e basi giuridiche del trattamento</w:t>
      </w:r>
    </w:p>
    <w:p>
      <w:pPr>
        <w:spacing w:after="120"/>
      </w:pPr>
      <w:r>
        <w:t xml:space="preserve">Ciascuna finalità di trattamento è associata alla relativa base giuridica ai sensi dell’art. 6 del GDPR: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D5E3E8" w:val="clear"/>
            <w:tcMar>
              <w:top w:type="dxa" w:w="80"/>
              <w:left w:type="dxa" w:w="120"/>
              <w:bottom w:type="dxa" w:w="80"/>
              <w:right w:type="dxa" w:w="120"/>
            </w:tcMar>
          </w:tcPr>
          <w:p>
            <w:r>
              <w:rPr>
                <w:b/>
                <w:bCs/>
              </w:rPr>
              <w:t xml:space="preserve">Finalità</w:t>
            </w:r>
          </w:p>
        </w:tc>
        <w:tc>
          <w:tcPr>
            <w:tcW w:type="dxa" w:w="4513"/>
            <w:tcBorders>
              <w:top w:val="single" w:color="CCCCCC" w:sz="1"/>
              <w:left w:val="single" w:color="CCCCCC" w:sz="1"/>
              <w:bottom w:val="single" w:color="CCCCCC" w:sz="1"/>
              <w:right w:val="single" w:color="CCCCCC" w:sz="1"/>
            </w:tcBorders>
            <w:shd w:fill="D5E3E8" w:val="clear"/>
            <w:tcMar>
              <w:top w:type="dxa" w:w="80"/>
              <w:left w:type="dxa" w:w="120"/>
              <w:bottom w:type="dxa" w:w="80"/>
              <w:right w:type="dxa" w:w="120"/>
            </w:tcMar>
          </w:tcPr>
          <w:p>
            <w:r>
              <w:rPr>
                <w:b/>
                <w:bCs/>
              </w:rPr>
              <w:t xml:space="preserve">Base giuridica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Rispondere a richieste di informazioni e gestire contatti commerciali e richieste di preventivo</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Esecuzione di misure precontrattuali richieste dall’interessato (art. 6.1.b) e/o legittimo interesse del Titolare (art. 6.1.f)</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Fornire informazioni sui servizi offerti e dare riscontro a comunicazioni</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Legittimo interesse del Titolare (art. 6.1.f)</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Garantire il corretto funzionamento e la sicurezza del sito web (cookie tecnici, log)</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Legittimo interesse del Titolare (art. 6.1.f)</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Cookie e strumenti di analisi non tecnici</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Consenso dell’interessato (art. 6.1.a)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Adempiere a obblighi di legge, contabili e fiscali</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Adempimento di un obbligo legale (art. 6.1.c)</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Accertare, esercitare o difendere un diritto in sede giudiziaria</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Legittimo interesse del Titolare (art. 6.1.f)</w:t>
            </w:r>
          </w:p>
        </w:tc>
      </w:tr>
    </w:tbl>
    <w:p>
      <w:pPr>
        <w:pStyle w:val="Heading1"/>
      </w:pPr>
      <w:r>
        <w:t xml:space="preserve">5. Modalità del trattamento</w:t>
      </w:r>
    </w:p>
    <w:p>
      <w:pPr>
        <w:spacing w:after="120"/>
      </w:pPr>
      <w:r>
        <w:t xml:space="preserve">I dati sono trattati con strumenti informatici e, ove necessario, cartacei, mediante misure tecniche e organizzative adeguate a garantirne sicurezza, integrità, disponibilità e riservatezza, nel rispetto del Regolamento (UE) 2016/679 e della normativa nazionale applicabile. I dati sono trattati esclusivamente da personale autorizzato e istruito dal Titolare.</w:t>
      </w:r>
    </w:p>
    <w:p>
      <w:pPr>
        <w:pStyle w:val="Heading1"/>
      </w:pPr>
      <w:r>
        <w:t xml:space="preserve">6. Periodo di conservazione dei dati</w:t>
      </w:r>
    </w:p>
    <w:p>
      <w:pPr>
        <w:spacing w:after="120"/>
      </w:pPr>
      <w:r>
        <w:t xml:space="preserve">I dati personali sono conservati per il tempo strettamente necessario al conseguimento delle finalità per le quali sono stati raccolti e, in ogni caso, secondo i seguenti criteri indicativi:</w:t>
      </w:r>
    </w:p>
    <w:p>
      <w:pPr>
        <w:pStyle w:val="ListParagraph"/>
        <w:numPr>
          <w:ilvl w:val="0"/>
          <w:numId w:val="2"/>
        </w:numPr>
        <w:spacing w:after="60"/>
      </w:pPr>
      <w:r>
        <w:t xml:space="preserve">Dati relativi a richieste di informazioni e contatti commerciali: fino a 24 mesi dall’ultimo contatto, salvo che il rapporto evolva in relazione contrattuale;</w:t>
      </w:r>
    </w:p>
    <w:p>
      <w:pPr>
        <w:pStyle w:val="ListParagraph"/>
        <w:numPr>
          <w:ilvl w:val="0"/>
          <w:numId w:val="2"/>
        </w:numPr>
        <w:spacing w:after="60"/>
      </w:pPr>
      <w:r>
        <w:t xml:space="preserve">Dati connessi a obblighi contabili, fiscali e contrattuali: 10 anni, ai sensi della normativa applicabile;</w:t>
      </w:r>
    </w:p>
    <w:p>
      <w:pPr>
        <w:pStyle w:val="ListParagraph"/>
        <w:numPr>
          <w:ilvl w:val="0"/>
          <w:numId w:val="2"/>
        </w:numPr>
        <w:spacing w:after="60"/>
      </w:pPr>
      <w:r>
        <w:t xml:space="preserve">Dati tecnici di navigazione e log: per il tempo previsto dalla Cookie Policy e dalle esigenze di sicurezza;</w:t>
      </w:r>
    </w:p>
    <w:p>
      <w:pPr>
        <w:pStyle w:val="ListParagraph"/>
        <w:numPr>
          <w:ilvl w:val="0"/>
          <w:numId w:val="2"/>
        </w:numPr>
        <w:spacing w:after="60"/>
      </w:pPr>
      <w:r>
        <w:t xml:space="preserve">Dati trattati per finalità di difesa di un diritto: per la durata del relativo procedimento e nei termini di prescrizione.</w:t>
      </w:r>
    </w:p>
    <w:p>
      <w:pPr>
        <w:pStyle w:val="Heading1"/>
      </w:pPr>
      <w:r>
        <w:t xml:space="preserve">7. Comunicazione dei dati</w:t>
      </w:r>
    </w:p>
    <w:p>
      <w:pPr>
        <w:spacing w:after="120"/>
      </w:pPr>
      <w:r>
        <w:t xml:space="preserve">I dati personali potranno essere comunicati, nei limiti delle finalità sopra indicate, a:</w:t>
      </w:r>
    </w:p>
    <w:p>
      <w:pPr>
        <w:pStyle w:val="ListParagraph"/>
        <w:numPr>
          <w:ilvl w:val="0"/>
          <w:numId w:val="2"/>
        </w:numPr>
        <w:spacing w:after="60"/>
      </w:pPr>
      <w:r>
        <w:t xml:space="preserve">Consulenti e professionisti incaricati (es. consulenti legali, fiscali e tecnici);</w:t>
      </w:r>
    </w:p>
    <w:p>
      <w:pPr>
        <w:pStyle w:val="ListParagraph"/>
        <w:numPr>
          <w:ilvl w:val="0"/>
          <w:numId w:val="2"/>
        </w:numPr>
        <w:spacing w:after="60"/>
      </w:pPr>
      <w:r>
        <w:t xml:space="preserve">Fornitori di servizi informatici, di hosting e di posta elettronica, nominati Responsabili del trattamento ai sensi dell’art. 28 GDPR;</w:t>
      </w:r>
    </w:p>
    <w:p>
      <w:pPr>
        <w:pStyle w:val="ListParagraph"/>
        <w:numPr>
          <w:ilvl w:val="0"/>
          <w:numId w:val="2"/>
        </w:numPr>
        <w:spacing w:after="60"/>
      </w:pPr>
      <w:r>
        <w:t xml:space="preserve">Autorità pubbliche, giudiziarie o amministrative, ove richiesto dalla legge.</w:t>
      </w:r>
    </w:p>
    <w:p>
      <w:pPr>
        <w:spacing w:after="120"/>
      </w:pPr>
      <w:r>
        <w:t xml:space="preserve">I dati personali non sono oggetto di diffusione al pubblico.</w:t>
      </w:r>
    </w:p>
    <w:p>
      <w:pPr>
        <w:pStyle w:val="Heading1"/>
      </w:pPr>
      <w:r>
        <w:t xml:space="preserve">8. Trasferimento dei dati extra-UE</w:t>
      </w:r>
    </w:p>
    <w:p>
      <w:pPr>
        <w:spacing w:after="120"/>
      </w:pPr>
      <w:r>
        <w:t xml:space="preserve">Alcuni fornitori di servizi (ad esempio servizi di hosting, posta elettronica o analisi web) potrebbero trattare dati al di fuori dello Spazio Economico Europeo. In tali casi il Titolare assicura che il trasferimento avvenga nel rispetto degli artt. 44-49 del GDPR, mediante decisioni di adeguatezza della Commissione europea oppure attraverso garanzie adeguate quali le Clausole Contrattuali Standard (Standard Contractual Clauses) e, ove applicabile, l’adesione del fornitore a framework riconosciuti (es. EU-U.S. Data Privacy Framework). L’interessato può richiedere copia delle garanzie adottate contattando il Titolare.</w:t>
      </w:r>
    </w:p>
    <w:p>
      <w:pPr>
        <w:pStyle w:val="Heading1"/>
      </w:pPr>
      <w:r>
        <w:t xml:space="preserve">9. Processo decisionale automatizzato</w:t>
      </w:r>
    </w:p>
    <w:p>
      <w:pPr>
        <w:spacing w:after="120"/>
      </w:pPr>
      <w:r>
        <w:t xml:space="preserve">Il Titolare non effettua trattamenti basati su processi decisionali automatizzati, inclusa la profilazione, che producano effetti giuridici o incidano in modo analogo significativamente sull’interessato.</w:t>
      </w:r>
    </w:p>
    <w:p>
      <w:pPr>
        <w:pStyle w:val="Heading1"/>
      </w:pPr>
      <w:r>
        <w:t xml:space="preserve">10. Diritti dell’interessato</w:t>
      </w:r>
    </w:p>
    <w:p>
      <w:pPr>
        <w:spacing w:after="120"/>
      </w:pPr>
      <w:r>
        <w:t xml:space="preserve">L’interessato può esercitare in qualsiasi momento i diritti previsti dagli artt. 15-22 del GDPR, tra cui:</w:t>
      </w:r>
    </w:p>
    <w:p>
      <w:pPr>
        <w:pStyle w:val="ListParagraph"/>
        <w:numPr>
          <w:ilvl w:val="0"/>
          <w:numId w:val="2"/>
        </w:numPr>
        <w:spacing w:after="60"/>
      </w:pPr>
      <w:r>
        <w:t xml:space="preserve">Diritto di accesso ai propri dati personali (art. 15);</w:t>
      </w:r>
    </w:p>
    <w:p>
      <w:pPr>
        <w:pStyle w:val="ListParagraph"/>
        <w:numPr>
          <w:ilvl w:val="0"/>
          <w:numId w:val="2"/>
        </w:numPr>
        <w:spacing w:after="60"/>
      </w:pPr>
      <w:r>
        <w:t xml:space="preserve">Diritto di rettifica (art. 16);</w:t>
      </w:r>
    </w:p>
    <w:p>
      <w:pPr>
        <w:pStyle w:val="ListParagraph"/>
        <w:numPr>
          <w:ilvl w:val="0"/>
          <w:numId w:val="2"/>
        </w:numPr>
        <w:spacing w:after="60"/>
      </w:pPr>
      <w:r>
        <w:t xml:space="preserve">Diritto alla cancellazione / oblio (art. 17);</w:t>
      </w:r>
    </w:p>
    <w:p>
      <w:pPr>
        <w:pStyle w:val="ListParagraph"/>
        <w:numPr>
          <w:ilvl w:val="0"/>
          <w:numId w:val="2"/>
        </w:numPr>
        <w:spacing w:after="60"/>
      </w:pPr>
      <w:r>
        <w:t xml:space="preserve">Diritto di limitazione del trattamento (art. 18);</w:t>
      </w:r>
    </w:p>
    <w:p>
      <w:pPr>
        <w:pStyle w:val="ListParagraph"/>
        <w:numPr>
          <w:ilvl w:val="0"/>
          <w:numId w:val="2"/>
        </w:numPr>
        <w:spacing w:after="60"/>
      </w:pPr>
      <w:r>
        <w:t xml:space="preserve">Diritto alla portabilità dei dati (art. 20);</w:t>
      </w:r>
    </w:p>
    <w:p>
      <w:pPr>
        <w:pStyle w:val="ListParagraph"/>
        <w:numPr>
          <w:ilvl w:val="0"/>
          <w:numId w:val="2"/>
        </w:numPr>
        <w:spacing w:after="60"/>
      </w:pPr>
      <w:r>
        <w:t xml:space="preserve">Diritto di opposizione al trattamento (art. 21);</w:t>
      </w:r>
    </w:p>
    <w:p>
      <w:pPr>
        <w:pStyle w:val="ListParagraph"/>
        <w:numPr>
          <w:ilvl w:val="0"/>
          <w:numId w:val="2"/>
        </w:numPr>
        <w:spacing w:after="60"/>
      </w:pPr>
      <w:r>
        <w:t xml:space="preserve">Diritto di revocare il consenso in qualsiasi momento, senza pregiudizio della liceità del trattamento basato sul consenso prestato prima della revoca.</w:t>
      </w:r>
    </w:p>
    <w:p>
      <w:pPr>
        <w:spacing w:after="120"/>
      </w:pPr>
      <w:r>
        <w:t xml:space="preserve">Le richieste possono essere inviate all’indirizzo email del Titolare. Il Titolare fornirà riscontro nei termini di legge.</w:t>
      </w:r>
    </w:p>
    <w:p>
      <w:pPr>
        <w:pStyle w:val="Heading1"/>
      </w:pPr>
      <w:r>
        <w:t xml:space="preserve">11. Diritto di reclamo</w:t>
      </w:r>
    </w:p>
    <w:p>
      <w:pPr>
        <w:spacing w:after="120"/>
      </w:pPr>
      <w:r>
        <w:t xml:space="preserve">Fatta salva ogni altra azione amministrativa o giurisdizionale, l’interessato che ritenga che il trattamento dei propri dati personali avvenga in violazione del GDPR ha il diritto di proporre reclamo all’Autorità di controllo competente, ossia il Garante per la protezione dei dati personali (www.garanteprivacy.it), ai sensi dell’art. 77 del GDPR.</w:t>
      </w:r>
    </w:p>
    <w:p>
      <w:pPr>
        <w:pStyle w:val="Heading1"/>
      </w:pPr>
      <w:r>
        <w:t xml:space="preserve">12. Modifiche alla presente informativa</w:t>
      </w:r>
    </w:p>
    <w:p>
      <w:pPr>
        <w:spacing w:after="120"/>
      </w:pPr>
      <w:r>
        <w:t xml:space="preserve">Rizzo Landscape Building S.R.L. si riserva il diritto di aggiornare o modificare la presente informativa in qualsiasi momento, anche in conseguenza di mutamenti normativi, pubblicando la versione aggiornata sul sito web. Si invita pertanto a consultare periodicamente la presente pagina.</w:t>
      </w:r>
    </w:p>
    <w:p>
      <w:pPr>
        <w:spacing w:before="240"/>
      </w:pPr>
      <w:r>
        <w:rPr>
          <w:b/>
          <w:bCs/>
        </w:rPr>
        <w:t xml:space="preserve">Ultimo aggiornamento: Giugno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Informativa Privacy — Pagina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b/>
        <w:bCs/>
        <w:color w:val="1F4E5F"/>
        <w:sz w:val="18"/>
        <w:szCs w:val="18"/>
      </w:rPr>
      <w:t xml:space="preserve">RIZZO LANDSCAPE BUILDING S.R.L.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60"/>
      <w:outlineLvl w:val="1"/>
    </w:pPr>
    <w:rPr>
      <w:rFonts w:ascii="Arial" w:cs="Arial" w:eastAsia="Arial" w:hAnsi="Arial"/>
      <w:b/>
      <w:bCs/>
      <w:color w:val="1F4E5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2026-06-06T10:33:17.586Z</dcterms:created>
  <dcterms:modified xsi:type="dcterms:W3CDTF">2026-06-06T10:33:17.586Z</dcterms:modified>
</cp:coreProperties>
</file>

<file path=docProps/custom.xml><?xml version="1.0" encoding="utf-8"?>
<Properties xmlns="http://schemas.openxmlformats.org/officeDocument/2006/custom-properties" xmlns:vt="http://schemas.openxmlformats.org/officeDocument/2006/docPropsVTypes"/>
</file>